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E" w:rsidRDefault="005537E0">
      <w:pPr>
        <w:tabs>
          <w:tab w:val="center" w:pos="469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26"/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A45C9">
        <w:object w:dxaOrig="936" w:dyaOrig="1209">
          <v:rect id="rectole0000000000" o:spid="_x0000_i1025" style="width:46.5pt;height:60.75pt" o:ole="" o:preferrelative="t" stroked="f">
            <v:imagedata r:id="rId5" o:title=""/>
          </v:rect>
          <o:OLEObject Type="Embed" ProgID="StaticMetafile" ShapeID="rectole0000000000" DrawAspect="Content" ObjectID="_1280823379" r:id="rId6"/>
        </w:object>
      </w:r>
    </w:p>
    <w:p w:rsidR="007F34BE" w:rsidRDefault="000A45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F34BE" w:rsidRDefault="000A45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НЕРХИНСКОГО 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180"/>
        </w:rPr>
      </w:pPr>
      <w:r>
        <w:rPr>
          <w:rFonts w:ascii="Times New Roman" w:eastAsia="Times New Roman" w:hAnsi="Times New Roman" w:cs="Times New Roman"/>
          <w:spacing w:val="180"/>
        </w:rPr>
        <w:t>*******************************</w:t>
      </w:r>
    </w:p>
    <w:p w:rsidR="007F34BE" w:rsidRDefault="000A45C9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д. Нерха, ул. Береговая 6                                                                                  тел.: 8(395-57) 7-72-15</w:t>
      </w:r>
    </w:p>
    <w:p w:rsidR="007F34BE" w:rsidRDefault="000A45C9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22  мая  2013 г. № 9                                                                                     факс 8(395-57) 7-72-15</w:t>
      </w:r>
    </w:p>
    <w:p w:rsidR="007F34BE" w:rsidRDefault="000A45C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7F34BE" w:rsidRDefault="007F34B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Плана мероприятий («дорожной карты»),</w:t>
      </w: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направленных на повышение эффективности сферы культуры</w:t>
      </w:r>
    </w:p>
    <w:p w:rsidR="007F34BE" w:rsidRDefault="000A45C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Нерхинском муниципальном образовании.</w:t>
      </w:r>
    </w:p>
    <w:p w:rsidR="007F34BE" w:rsidRDefault="007F34B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58-рп,  руководствуясь Уставом Нерхинского муниципального образования.</w:t>
      </w:r>
    </w:p>
    <w:p w:rsidR="007F34BE" w:rsidRDefault="007F34B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7F34BE" w:rsidRDefault="007F34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План мероприятий («дорожную карту»), направленных на повышение эффективности сферы культуры в Нерхинском муниципальном образовании (прилагается).</w:t>
      </w:r>
    </w:p>
    <w:p w:rsidR="007F34BE" w:rsidRDefault="000A45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постановление опубликовать в Вестнике Нерхинского сельского поселения.</w:t>
      </w:r>
    </w:p>
    <w:p w:rsidR="007F34BE" w:rsidRDefault="000A45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Нерхинского</w:t>
      </w:r>
    </w:p>
    <w:p w:rsidR="007F34BE" w:rsidRDefault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муниципального образования                                                                      И.Г. Тулаев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УТВЕРЖДЕН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Нерхинского муниципального образования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от «22» мая 2013 года № 9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ПЛАН МЕРОПРИЯТИЙ («ДОРОЖНАЯ КАРТА»), НАПРАВЛЕННЫХ НА ПОВЫШЕНИЕ ЭФФЕКТИВНОСТИ СФЕРЫ КУЛЬТУРЫ В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НЕРХИНСКОМ МУНИЦИПАЛЬНОМ ОБРАЗОВАНИИ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Настоящий План мероприятий («дорожная карта»), направленных на повышение эффективности сферы культуры (далее – муниципальный план мероприятий («дорожная карта»), разработан в следующих целях: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1)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качества жизни жителей Нерхинского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2)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3)</w:t>
      </w:r>
      <w:r w:rsidRPr="000A45C9">
        <w:rPr>
          <w:rFonts w:ascii="Times New Roman" w:eastAsia="Times New Roman" w:hAnsi="Times New Roman" w:cs="Times New Roman"/>
          <w:sz w:val="24"/>
        </w:rPr>
        <w:tab/>
        <w:t>развитие и сохранение кадрового потенциала учреждений культуры;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4)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престижности и привлекательности профессий в сфере культуры;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5)</w:t>
      </w:r>
      <w:r w:rsidRPr="000A45C9">
        <w:rPr>
          <w:rFonts w:ascii="Times New Roman" w:eastAsia="Times New Roman" w:hAnsi="Times New Roman" w:cs="Times New Roman"/>
          <w:sz w:val="24"/>
        </w:rPr>
        <w:tab/>
        <w:t>сохранение культурного и исторического наследия территории,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6)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благоприятных условий для устойчивого развития сферы культуры.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II. ЦЕЛЕВЫЕ ПОКАЗАТЕЛИ (ИНДИКАТОРЫ) РАЗВИТИЯ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1. С ростом эффективности и качества оказываемых услуг в Нерхинском муниципальном образовании будут достигнуты следующие целевые показатели (индикаторы):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1) увеличение численности участников культурно-досуговых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культурно-досуговых учреждений) в отчетном году на платной основе: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(тыс. чел.)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2,02</w:t>
      </w:r>
      <w:r w:rsidRPr="000A45C9">
        <w:rPr>
          <w:rFonts w:ascii="Times New Roman" w:eastAsia="Times New Roman" w:hAnsi="Times New Roman" w:cs="Times New Roman"/>
          <w:sz w:val="24"/>
        </w:rPr>
        <w:tab/>
        <w:t>2,04</w:t>
      </w:r>
      <w:r w:rsidRPr="000A45C9">
        <w:rPr>
          <w:rFonts w:ascii="Times New Roman" w:eastAsia="Times New Roman" w:hAnsi="Times New Roman" w:cs="Times New Roman"/>
          <w:sz w:val="24"/>
        </w:rPr>
        <w:tab/>
        <w:t>2,06</w:t>
      </w:r>
      <w:r w:rsidRPr="000A45C9">
        <w:rPr>
          <w:rFonts w:ascii="Times New Roman" w:eastAsia="Times New Roman" w:hAnsi="Times New Roman" w:cs="Times New Roman"/>
          <w:sz w:val="24"/>
        </w:rPr>
        <w:tab/>
        <w:t>2,08</w:t>
      </w:r>
      <w:r w:rsidRPr="000A45C9">
        <w:rPr>
          <w:rFonts w:ascii="Times New Roman" w:eastAsia="Times New Roman" w:hAnsi="Times New Roman" w:cs="Times New Roman"/>
          <w:sz w:val="24"/>
        </w:rPr>
        <w:tab/>
        <w:t>2,10</w:t>
      </w:r>
      <w:r w:rsidRPr="000A45C9">
        <w:rPr>
          <w:rFonts w:ascii="Times New Roman" w:eastAsia="Times New Roman" w:hAnsi="Times New Roman" w:cs="Times New Roman"/>
          <w:sz w:val="24"/>
        </w:rPr>
        <w:tab/>
        <w:t>2,12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 xml:space="preserve">2) повышение уровня удовлетворенности жителей территории качеством предоставления государственных и муниципальных услуг в сфере культуры, </w:t>
      </w:r>
      <w:r w:rsidRPr="000A45C9">
        <w:rPr>
          <w:rFonts w:ascii="Times New Roman" w:eastAsia="Times New Roman" w:hAnsi="Times New Roman" w:cs="Times New Roman"/>
          <w:sz w:val="24"/>
        </w:rPr>
        <w:lastRenderedPageBreak/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70</w:t>
      </w:r>
      <w:r w:rsidRPr="000A45C9">
        <w:rPr>
          <w:rFonts w:ascii="Times New Roman" w:eastAsia="Times New Roman" w:hAnsi="Times New Roman" w:cs="Times New Roman"/>
          <w:sz w:val="24"/>
        </w:rPr>
        <w:tab/>
        <w:t>71</w:t>
      </w:r>
      <w:r w:rsidRPr="000A45C9">
        <w:rPr>
          <w:rFonts w:ascii="Times New Roman" w:eastAsia="Times New Roman" w:hAnsi="Times New Roman" w:cs="Times New Roman"/>
          <w:sz w:val="24"/>
        </w:rPr>
        <w:tab/>
        <w:t>73</w:t>
      </w:r>
      <w:r w:rsidRPr="000A45C9">
        <w:rPr>
          <w:rFonts w:ascii="Times New Roman" w:eastAsia="Times New Roman" w:hAnsi="Times New Roman" w:cs="Times New Roman"/>
          <w:sz w:val="24"/>
        </w:rPr>
        <w:tab/>
        <w:t>78</w:t>
      </w:r>
      <w:r w:rsidRPr="000A45C9">
        <w:rPr>
          <w:rFonts w:ascii="Times New Roman" w:eastAsia="Times New Roman" w:hAnsi="Times New Roman" w:cs="Times New Roman"/>
          <w:sz w:val="24"/>
        </w:rPr>
        <w:tab/>
        <w:t>83</w:t>
      </w:r>
      <w:r w:rsidRPr="000A45C9">
        <w:rPr>
          <w:rFonts w:ascii="Times New Roman" w:eastAsia="Times New Roman" w:hAnsi="Times New Roman" w:cs="Times New Roman"/>
          <w:sz w:val="24"/>
        </w:rPr>
        <w:tab/>
        <w:t>88</w:t>
      </w:r>
      <w:r w:rsidRPr="000A45C9">
        <w:rPr>
          <w:rFonts w:ascii="Times New Roman" w:eastAsia="Times New Roman" w:hAnsi="Times New Roman" w:cs="Times New Roman"/>
          <w:sz w:val="24"/>
        </w:rPr>
        <w:tab/>
        <w:t>90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3) 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(человек)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15</w:t>
      </w:r>
      <w:r w:rsidRPr="000A45C9">
        <w:rPr>
          <w:rFonts w:ascii="Times New Roman" w:eastAsia="Times New Roman" w:hAnsi="Times New Roman" w:cs="Times New Roman"/>
          <w:sz w:val="24"/>
        </w:rPr>
        <w:tab/>
        <w:t>16</w:t>
      </w:r>
      <w:r w:rsidRPr="000A45C9">
        <w:rPr>
          <w:rFonts w:ascii="Times New Roman" w:eastAsia="Times New Roman" w:hAnsi="Times New Roman" w:cs="Times New Roman"/>
          <w:sz w:val="24"/>
        </w:rPr>
        <w:tab/>
        <w:t>17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4) динамика примерных (индикативных) значений соотношения средней заработной платы работников учреждений культуры соответствующего муниципального образования,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Федерации, показатель рассчитывается в соответствии с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1 к муниципальному плану мероприятий («дорожная карта»):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56,1</w:t>
      </w:r>
      <w:r w:rsidRPr="000A45C9">
        <w:rPr>
          <w:rFonts w:ascii="Times New Roman" w:eastAsia="Times New Roman" w:hAnsi="Times New Roman" w:cs="Times New Roman"/>
          <w:sz w:val="24"/>
        </w:rPr>
        <w:tab/>
        <w:t>64,9</w:t>
      </w:r>
      <w:r w:rsidRPr="000A45C9">
        <w:rPr>
          <w:rFonts w:ascii="Times New Roman" w:eastAsia="Times New Roman" w:hAnsi="Times New Roman" w:cs="Times New Roman"/>
          <w:sz w:val="24"/>
        </w:rPr>
        <w:tab/>
        <w:t>73,7</w:t>
      </w:r>
      <w:r w:rsidRPr="000A45C9">
        <w:rPr>
          <w:rFonts w:ascii="Times New Roman" w:eastAsia="Times New Roman" w:hAnsi="Times New Roman" w:cs="Times New Roman"/>
          <w:sz w:val="24"/>
        </w:rPr>
        <w:tab/>
        <w:t>82,4</w:t>
      </w:r>
      <w:r w:rsidRPr="000A45C9">
        <w:rPr>
          <w:rFonts w:ascii="Times New Roman" w:eastAsia="Times New Roman" w:hAnsi="Times New Roman" w:cs="Times New Roman"/>
          <w:sz w:val="24"/>
        </w:rPr>
        <w:tab/>
        <w:t>91,2</w:t>
      </w:r>
      <w:r w:rsidRPr="000A45C9">
        <w:rPr>
          <w:rFonts w:ascii="Times New Roman" w:eastAsia="Times New Roman" w:hAnsi="Times New Roman" w:cs="Times New Roman"/>
          <w:sz w:val="24"/>
        </w:rPr>
        <w:tab/>
        <w:t>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5) доля работников культуры в муниципальном образовании, переведенных на «эффективный контракт», 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муниципальных учреждений культуры соответствующего муниципального образования: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(чел. / 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  <w:r w:rsidRPr="000A45C9">
        <w:rPr>
          <w:rFonts w:ascii="Times New Roman" w:eastAsia="Times New Roman" w:hAnsi="Times New Roman" w:cs="Times New Roman"/>
          <w:sz w:val="24"/>
        </w:rPr>
        <w:tab/>
        <w:t>2018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1 / 50</w:t>
      </w:r>
      <w:r w:rsidRPr="000A45C9">
        <w:rPr>
          <w:rFonts w:ascii="Times New Roman" w:eastAsia="Times New Roman" w:hAnsi="Times New Roman" w:cs="Times New Roman"/>
          <w:sz w:val="24"/>
        </w:rPr>
        <w:tab/>
        <w:t>1 / 50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  <w:r w:rsidRPr="000A45C9">
        <w:rPr>
          <w:rFonts w:ascii="Times New Roman" w:eastAsia="Times New Roman" w:hAnsi="Times New Roman" w:cs="Times New Roman"/>
          <w:sz w:val="24"/>
        </w:rPr>
        <w:tab/>
        <w:t>2 / 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6) доля руководителей учреждений культуры в муниципальном образовании, трудовой договор с которыми заключен в соответствии с типовой формой, 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утвержденной Правительством Российской Федерации, к общему количеству трудовых договоров с руководителями учреждений культуры соответствующего муниципального образования: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(чел. / процентов)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lastRenderedPageBreak/>
        <w:t>Год</w:t>
      </w:r>
      <w:r w:rsidRPr="000A45C9">
        <w:rPr>
          <w:rFonts w:ascii="Times New Roman" w:eastAsia="Times New Roman" w:hAnsi="Times New Roman" w:cs="Times New Roman"/>
          <w:sz w:val="24"/>
        </w:rPr>
        <w:tab/>
        <w:t>2012 г.</w:t>
      </w:r>
      <w:r w:rsidRPr="000A45C9">
        <w:rPr>
          <w:rFonts w:ascii="Times New Roman" w:eastAsia="Times New Roman" w:hAnsi="Times New Roman" w:cs="Times New Roman"/>
          <w:sz w:val="24"/>
        </w:rPr>
        <w:tab/>
        <w:t>2013 г.</w:t>
      </w:r>
      <w:r w:rsidRPr="000A45C9">
        <w:rPr>
          <w:rFonts w:ascii="Times New Roman" w:eastAsia="Times New Roman" w:hAnsi="Times New Roman" w:cs="Times New Roman"/>
          <w:sz w:val="24"/>
        </w:rPr>
        <w:tab/>
        <w:t>2014 г.</w:t>
      </w:r>
      <w:r w:rsidRPr="000A45C9">
        <w:rPr>
          <w:rFonts w:ascii="Times New Roman" w:eastAsia="Times New Roman" w:hAnsi="Times New Roman" w:cs="Times New Roman"/>
          <w:sz w:val="24"/>
        </w:rPr>
        <w:tab/>
        <w:t>2015 г.</w:t>
      </w:r>
      <w:r w:rsidRPr="000A45C9">
        <w:rPr>
          <w:rFonts w:ascii="Times New Roman" w:eastAsia="Times New Roman" w:hAnsi="Times New Roman" w:cs="Times New Roman"/>
          <w:sz w:val="24"/>
        </w:rPr>
        <w:tab/>
        <w:t>2016 г.</w:t>
      </w:r>
      <w:r w:rsidRPr="000A45C9">
        <w:rPr>
          <w:rFonts w:ascii="Times New Roman" w:eastAsia="Times New Roman" w:hAnsi="Times New Roman" w:cs="Times New Roman"/>
          <w:sz w:val="24"/>
        </w:rPr>
        <w:tab/>
        <w:t>2017 г.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Нерхинское МО</w:t>
      </w:r>
      <w:r w:rsidRPr="000A45C9">
        <w:rPr>
          <w:rFonts w:ascii="Times New Roman" w:eastAsia="Times New Roman" w:hAnsi="Times New Roman" w:cs="Times New Roman"/>
          <w:sz w:val="24"/>
        </w:rPr>
        <w:tab/>
        <w:t>0 / 0</w:t>
      </w:r>
      <w:r w:rsidRPr="000A45C9">
        <w:rPr>
          <w:rFonts w:ascii="Times New Roman" w:eastAsia="Times New Roman" w:hAnsi="Times New Roman" w:cs="Times New Roman"/>
          <w:sz w:val="24"/>
        </w:rPr>
        <w:tab/>
        <w:t>0 / 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  <w:r w:rsidRPr="000A45C9">
        <w:rPr>
          <w:rFonts w:ascii="Times New Roman" w:eastAsia="Times New Roman" w:hAnsi="Times New Roman" w:cs="Times New Roman"/>
          <w:sz w:val="24"/>
        </w:rPr>
        <w:tab/>
        <w:t>1 / 100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III. ОСНОВНЫЕ МЕРОПРИЯТИЯ, НАПРАВЛЕННЫЕ НА ПОВЫШЕНИЕ ЭФФЕКТИВНОСТИ СФЕРЫ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1. Перечень мероприятий, направленных на повышение оплаты труда работников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№ п/п</w:t>
      </w:r>
      <w:r w:rsidRPr="000A45C9">
        <w:rPr>
          <w:rFonts w:ascii="Times New Roman" w:eastAsia="Times New Roman" w:hAnsi="Times New Roman" w:cs="Times New Roman"/>
          <w:sz w:val="24"/>
        </w:rPr>
        <w:tab/>
        <w:t>Мероприятие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систем оплаты труда работников культуры, установленных локальными актами муниципальных учреждений культуры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Рассмотрение, согласование локальных актов муниципальных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Оптимизация сети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муниципального района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мероприятий, направленных на повышение оплаты труда работников отрасли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 (дважды в год)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Подготовка, ежемесячных и ежеквартальных отчетов, отчетной информации о деятельности муниципальных учреждений культуру в 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Управление по культуре)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№ п/п</w:t>
      </w:r>
      <w:r w:rsidRPr="000A45C9">
        <w:rPr>
          <w:rFonts w:ascii="Times New Roman" w:eastAsia="Times New Roman" w:hAnsi="Times New Roman" w:cs="Times New Roman"/>
          <w:sz w:val="24"/>
        </w:rPr>
        <w:tab/>
        <w:t>Мероприятие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Внедрение типовых норм труда работников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Применение в муниципальных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перевода работников муниципальных учреждений культуры Нижнеудинского района на «эффективный контракт»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2013-2016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применения руководителями муниципальных учреждений культуры примерной формы трудового договора с работником муниципального учреждения, утвержденного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</w:t>
      </w:r>
      <w:r w:rsidRPr="000A45C9">
        <w:rPr>
          <w:rFonts w:ascii="Times New Roman" w:eastAsia="Times New Roman" w:hAnsi="Times New Roman" w:cs="Times New Roman"/>
          <w:sz w:val="24"/>
        </w:rPr>
        <w:lastRenderedPageBreak/>
        <w:t>год), а также лиц, претендующих на занятие указанных должностей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прозрачного механизма оплаты труда руководителей, обеспечение качественного подбора кадров на руководящие места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2013-2016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прозрачного механизма оплаты труда руководителей, обеспечение качественного подбора кадров на руководящие места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</w:t>
      </w:r>
      <w:r w:rsidRPr="000A45C9">
        <w:rPr>
          <w:rFonts w:ascii="Times New Roman" w:eastAsia="Times New Roman" w:hAnsi="Times New Roman" w:cs="Times New Roman"/>
          <w:sz w:val="24"/>
        </w:rPr>
        <w:tab/>
        <w:t>Внедрение профессиональных стандартов в отрасли, в том числе информирование руководителей муниципальных учреждений культуры о мероприятиях по переподготовке и повышению квалификации работников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профессионального уровня работников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6</w:t>
      </w:r>
      <w:r w:rsidRPr="000A45C9">
        <w:rPr>
          <w:rFonts w:ascii="Times New Roman" w:eastAsia="Times New Roman" w:hAnsi="Times New Roman" w:cs="Times New Roman"/>
          <w:sz w:val="24"/>
        </w:rPr>
        <w:tab/>
        <w:t>Внесение изменений в трудовые договоры с руководителями муниципальных учреждений культуры Нижнеудинского района, корректировка муниципальных заданий для данных учреждений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Определение периодичности предоставления отчетности в соответствующие ведомства о реализации областного и районного планов мероприятий («дорожная карта»)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7</w:t>
      </w:r>
      <w:r w:rsidRPr="000A45C9">
        <w:rPr>
          <w:rFonts w:ascii="Times New Roman" w:eastAsia="Times New Roman" w:hAnsi="Times New Roman" w:cs="Times New Roman"/>
          <w:sz w:val="24"/>
        </w:rPr>
        <w:tab/>
        <w:t>Мониторинг исполнения мероприятий, направленных на повышение качества осуществляемой работниками муниципальных учреждений культуры трудовой деятельности, совместно с совещательными органами при администрации муниципального района муниципального образования «Нижнеудинский район»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 (дважды в год)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Подготовка отчетной информации об исполнении мероприятий, направленных на повышение качества осуществляемой работниками муниципальных учреждений культуры деятельности в соответствующие ведомства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№ п/п</w:t>
      </w:r>
      <w:r w:rsidRPr="000A45C9"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Создание условий для межпоселенческой и другой совместной деятельности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доступности услуг муниципальных учреждений культуры Нижнеудинского района, формирование позитивного культурного имиджа территории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2</w:t>
      </w:r>
      <w:r w:rsidRPr="000A45C9">
        <w:rPr>
          <w:rFonts w:ascii="Times New Roman" w:eastAsia="Times New Roman" w:hAnsi="Times New Roman" w:cs="Times New Roman"/>
          <w:sz w:val="24"/>
        </w:rPr>
        <w:tab/>
        <w:t>Совершенствование ценовой политики муниципальных учреждений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доступности услуг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3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предоставления информации о культурных ценностях посредством сети «Интернет»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lastRenderedPageBreak/>
        <w:t>4</w:t>
      </w:r>
      <w:r w:rsidRPr="000A45C9">
        <w:rPr>
          <w:rFonts w:ascii="Times New Roman" w:eastAsia="Times New Roman" w:hAnsi="Times New Roman" w:cs="Times New Roman"/>
          <w:sz w:val="24"/>
        </w:rPr>
        <w:tab/>
        <w:t>Развитие государственно-частного партнерства в отрасли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Обеспечение творческих обменов между муниципальными учреждениями культуры Нижнеудинского района, Иркутской области, федеральными и региональными учреждениями культуры в соответствии с законодательством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5</w:t>
      </w:r>
      <w:r w:rsidRPr="000A45C9">
        <w:rPr>
          <w:rFonts w:ascii="Times New Roman" w:eastAsia="Times New Roman" w:hAnsi="Times New Roman" w:cs="Times New Roman"/>
          <w:sz w:val="24"/>
        </w:rPr>
        <w:tab/>
        <w:t>Внедрение электронной системы мониторинга статистической информации о развитии отрасли культуры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Повышение оперативности и качества обработки и анализа информации, направляемой в Управление по культуре, Министерство культуры и архивов Иркутской области, Министерство культуры Российской Федерации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культуры: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№ п/п</w:t>
      </w:r>
      <w:r w:rsidRPr="000A45C9">
        <w:rPr>
          <w:rFonts w:ascii="Times New Roman" w:eastAsia="Times New Roman" w:hAnsi="Times New Roman" w:cs="Times New Roman"/>
          <w:sz w:val="24"/>
        </w:rPr>
        <w:tab/>
        <w:t>Наименование</w:t>
      </w:r>
      <w:r w:rsidRPr="000A45C9">
        <w:rPr>
          <w:rFonts w:ascii="Times New Roman" w:eastAsia="Times New Roman" w:hAnsi="Times New Roman" w:cs="Times New Roman"/>
          <w:sz w:val="24"/>
        </w:rPr>
        <w:tab/>
        <w:t>Срок</w:t>
      </w:r>
      <w:r w:rsidRPr="000A45C9">
        <w:rPr>
          <w:rFonts w:ascii="Times New Roman" w:eastAsia="Times New Roman" w:hAnsi="Times New Roman" w:cs="Times New Roman"/>
          <w:sz w:val="24"/>
        </w:rPr>
        <w:tab/>
        <w:t>Ответственные исполнители</w:t>
      </w:r>
      <w:r w:rsidRPr="000A45C9">
        <w:rPr>
          <w:rFonts w:ascii="Times New Roman" w:eastAsia="Times New Roman" w:hAnsi="Times New Roman" w:cs="Times New Roman"/>
          <w:sz w:val="24"/>
        </w:rPr>
        <w:tab/>
        <w:t>Результат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1</w:t>
      </w:r>
      <w:r w:rsidRPr="000A45C9">
        <w:rPr>
          <w:rFonts w:ascii="Times New Roman" w:eastAsia="Times New Roman" w:hAnsi="Times New Roman" w:cs="Times New Roman"/>
          <w:sz w:val="24"/>
        </w:rPr>
        <w:tab/>
        <w:t>Включение в планы работы муниципальных учреждений культуры творческих мероприятий, ориентированных на участие в них детей</w:t>
      </w:r>
      <w:r w:rsidRPr="000A45C9">
        <w:rPr>
          <w:rFonts w:ascii="Times New Roman" w:eastAsia="Times New Roman" w:hAnsi="Times New Roman" w:cs="Times New Roman"/>
          <w:sz w:val="24"/>
        </w:rPr>
        <w:tab/>
        <w:t>в течение 2013-2018 года</w:t>
      </w:r>
      <w:r w:rsidRPr="000A45C9">
        <w:rPr>
          <w:rFonts w:ascii="Times New Roman" w:eastAsia="Times New Roman" w:hAnsi="Times New Roman" w:cs="Times New Roman"/>
          <w:sz w:val="24"/>
        </w:rPr>
        <w:tab/>
        <w:t>Глава муниципального образования</w:t>
      </w:r>
      <w:r w:rsidRPr="000A45C9">
        <w:rPr>
          <w:rFonts w:ascii="Times New Roman" w:eastAsia="Times New Roman" w:hAnsi="Times New Roman" w:cs="Times New Roman"/>
          <w:sz w:val="24"/>
        </w:rPr>
        <w:tab/>
        <w:t>Увеличение количества детей, являющихся получателями услуг (работ) муниципальных учреждений культуры</w:t>
      </w:r>
    </w:p>
    <w:p w:rsidR="000A45C9" w:rsidRP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_______________________________________  ___________________  ____________________</w:t>
      </w:r>
    </w:p>
    <w:p w:rsidR="000A45C9" w:rsidRDefault="000A45C9" w:rsidP="000A45C9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  <w:r w:rsidRPr="000A45C9">
        <w:rPr>
          <w:rFonts w:ascii="Times New Roman" w:eastAsia="Times New Roman" w:hAnsi="Times New Roman" w:cs="Times New Roman"/>
          <w:sz w:val="24"/>
        </w:rPr>
        <w:t>(Наименование должности главы)</w:t>
      </w:r>
      <w:r w:rsidRPr="000A45C9">
        <w:rPr>
          <w:rFonts w:ascii="Times New Roman" w:eastAsia="Times New Roman" w:hAnsi="Times New Roman" w:cs="Times New Roman"/>
          <w:sz w:val="24"/>
        </w:rPr>
        <w:tab/>
      </w:r>
      <w:r w:rsidRPr="000A45C9">
        <w:rPr>
          <w:rFonts w:ascii="Times New Roman" w:eastAsia="Times New Roman" w:hAnsi="Times New Roman" w:cs="Times New Roman"/>
          <w:sz w:val="24"/>
        </w:rPr>
        <w:tab/>
      </w:r>
      <w:r w:rsidRPr="000A45C9">
        <w:rPr>
          <w:rFonts w:ascii="Times New Roman" w:eastAsia="Times New Roman" w:hAnsi="Times New Roman" w:cs="Times New Roman"/>
          <w:sz w:val="24"/>
        </w:rPr>
        <w:tab/>
      </w:r>
    </w:p>
    <w:p w:rsidR="007F34BE" w:rsidRDefault="007F34BE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</w:rPr>
      </w:pPr>
    </w:p>
    <w:p w:rsidR="007F34BE" w:rsidRDefault="007F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7F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4BE"/>
    <w:rsid w:val="000A45C9"/>
    <w:rsid w:val="005537E0"/>
    <w:rsid w:val="007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2315</Words>
  <Characters>13196</Characters>
  <Application>Microsoft Office Word</Application>
  <DocSecurity>0</DocSecurity>
  <Lines>109</Lines>
  <Paragraphs>30</Paragraphs>
  <ScaleCrop>false</ScaleCrop>
  <Company>*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G840</cp:lastModifiedBy>
  <cp:revision>5</cp:revision>
  <dcterms:created xsi:type="dcterms:W3CDTF">2014-01-21T01:46:00Z</dcterms:created>
  <dcterms:modified xsi:type="dcterms:W3CDTF">2008-08-21T02:30:00Z</dcterms:modified>
</cp:coreProperties>
</file>